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46" w:rsidRPr="002321EA" w:rsidRDefault="002321EA">
      <w:pPr>
        <w:rPr>
          <w:rFonts w:ascii="Arial" w:hAnsi="Arial" w:cs="Arial" w:hint="eastAsia"/>
          <w:color w:val="666666"/>
          <w:sz w:val="32"/>
          <w:szCs w:val="32"/>
        </w:rPr>
      </w:pPr>
      <w:hyperlink r:id="rId4" w:tgtFrame="_parent" w:history="1">
        <w:r w:rsidRPr="002321EA">
          <w:rPr>
            <w:rFonts w:ascii="Arial" w:hAnsi="Arial" w:cs="Arial"/>
            <w:color w:val="747147"/>
            <w:sz w:val="32"/>
            <w:szCs w:val="32"/>
          </w:rPr>
          <w:t>轉眼六十一年</w:t>
        </w:r>
      </w:hyperlink>
    </w:p>
    <w:p w:rsidR="002321EA" w:rsidRDefault="002321EA" w:rsidP="002321EA">
      <w:pPr>
        <w:pStyle w:val="a3"/>
        <w:snapToGrid w:val="0"/>
        <w:rPr>
          <w:lang w:eastAsia="zh-TW"/>
        </w:rPr>
      </w:pPr>
      <w:r>
        <w:rPr>
          <w:rFonts w:hint="eastAsia"/>
          <w:noProof/>
        </w:rPr>
        <w:drawing>
          <wp:inline distT="0" distB="0" distL="0" distR="0">
            <wp:extent cx="7620000" cy="5715000"/>
            <wp:effectExtent l="19050" t="0" r="0" b="0"/>
            <wp:docPr id="1" name="图片 1" descr="http://manjuvimalakirti.com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njuvimalakirti.com/image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1EA" w:rsidRDefault="002321EA" w:rsidP="002321EA">
      <w:pPr>
        <w:pStyle w:val="header1"/>
        <w:snapToGrid w:val="0"/>
        <w:rPr>
          <w:lang w:eastAsia="zh-TW"/>
        </w:rPr>
      </w:pPr>
      <w:r>
        <w:rPr>
          <w:rFonts w:ascii="超研澤中仿" w:eastAsia="超研澤中仿" w:hint="eastAsia"/>
          <w:b/>
          <w:bCs/>
          <w:color w:val="003300"/>
          <w:sz w:val="27"/>
          <w:szCs w:val="27"/>
          <w:lang w:eastAsia="zh-TW"/>
        </w:rPr>
        <w:t>昨日澳門的平安戲院　今日已變為時裝店　　攝於－29/12/2004</w:t>
      </w:r>
    </w:p>
    <w:p w:rsidR="002321EA" w:rsidRDefault="002321EA" w:rsidP="002321EA">
      <w:pPr>
        <w:pStyle w:val="header1"/>
        <w:snapToGrid w:val="0"/>
        <w:rPr>
          <w:lang w:eastAsia="zh-TW"/>
        </w:rPr>
      </w:pPr>
      <w:r>
        <w:rPr>
          <w:lang w:eastAsia="zh-TW"/>
        </w:rPr>
        <w:t> </w:t>
      </w:r>
    </w:p>
    <w:p w:rsidR="002321EA" w:rsidRDefault="002321EA" w:rsidP="002321EA">
      <w:pPr>
        <w:pStyle w:val="header1"/>
        <w:snapToGrid w:val="0"/>
        <w:rPr>
          <w:lang w:eastAsia="zh-TW"/>
        </w:rPr>
      </w:pPr>
      <w:r>
        <w:rPr>
          <w:color w:val="800000"/>
          <w:sz w:val="48"/>
          <w:szCs w:val="48"/>
          <w:lang w:eastAsia="zh-TW"/>
        </w:rPr>
        <w:t>虛雲和尚在澳門平安戲院開示三歸五戒</w:t>
      </w:r>
      <w:r>
        <w:rPr>
          <w:color w:val="660000"/>
          <w:lang w:eastAsia="zh-TW"/>
        </w:rPr>
        <w:t xml:space="preserve"> </w:t>
      </w:r>
    </w:p>
    <w:p w:rsidR="002321EA" w:rsidRDefault="002321EA" w:rsidP="002321EA">
      <w:pPr>
        <w:pStyle w:val="header2"/>
        <w:snapToGrid w:val="0"/>
        <w:rPr>
          <w:lang w:eastAsia="zh-TW"/>
        </w:rPr>
      </w:pPr>
      <w:r>
        <w:rPr>
          <w:b/>
          <w:bCs/>
          <w:color w:val="800000"/>
          <w:lang w:eastAsia="zh-TW"/>
        </w:rPr>
        <w:t>民國三十六年丁亥八月初一日</w:t>
      </w:r>
      <w:r>
        <w:rPr>
          <w:b/>
          <w:bCs/>
          <w:color w:val="800000"/>
          <w:lang w:eastAsia="zh-TW"/>
        </w:rPr>
        <w:t xml:space="preserve"> </w:t>
      </w:r>
      <w:r>
        <w:rPr>
          <w:b/>
          <w:bCs/>
          <w:color w:val="FF0000"/>
          <w:lang w:eastAsia="zh-TW"/>
        </w:rPr>
        <w:t>（公元</w:t>
      </w:r>
      <w:r>
        <w:rPr>
          <w:b/>
          <w:bCs/>
          <w:color w:val="FF0000"/>
          <w:lang w:eastAsia="zh-TW"/>
        </w:rPr>
        <w:t>1947</w:t>
      </w:r>
      <w:r>
        <w:rPr>
          <w:b/>
          <w:bCs/>
          <w:color w:val="FF0000"/>
          <w:lang w:eastAsia="zh-TW"/>
        </w:rPr>
        <w:t>年）</w:t>
      </w:r>
    </w:p>
    <w:p w:rsidR="002321EA" w:rsidRDefault="002321EA" w:rsidP="002321EA">
      <w:pPr>
        <w:pStyle w:val="headernote"/>
        <w:snapToGrid w:val="0"/>
        <w:rPr>
          <w:lang w:eastAsia="zh-TW"/>
        </w:rPr>
      </w:pPr>
      <w:r>
        <w:rPr>
          <w:b/>
          <w:bCs/>
          <w:color w:val="800000"/>
          <w:lang w:eastAsia="zh-TW"/>
        </w:rPr>
        <w:t>弟子寬榮譯語並記</w:t>
      </w:r>
      <w:r>
        <w:rPr>
          <w:b/>
          <w:bCs/>
          <w:color w:val="800000"/>
          <w:lang w:eastAsia="zh-TW"/>
        </w:rPr>
        <w:t xml:space="preserve"> </w:t>
      </w:r>
    </w:p>
    <w:p w:rsidR="002321EA" w:rsidRDefault="002321EA" w:rsidP="002321EA">
      <w:pPr>
        <w:pStyle w:val="a3"/>
        <w:snapToGrid w:val="0"/>
        <w:rPr>
          <w:lang w:eastAsia="zh-TW"/>
        </w:rPr>
      </w:pPr>
      <w:r>
        <w:rPr>
          <w:lang w:eastAsia="zh-TW"/>
        </w:rPr>
        <w:t> </w:t>
      </w:r>
    </w:p>
    <w:p w:rsidR="002321EA" w:rsidRDefault="002321EA" w:rsidP="002321EA">
      <w:pPr>
        <w:pStyle w:val="textindent"/>
        <w:snapToGrid w:val="0"/>
        <w:rPr>
          <w:lang w:eastAsia="zh-TW"/>
        </w:rPr>
      </w:pP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lastRenderedPageBreak/>
        <w:t xml:space="preserve">今蒙佛教同寅相邀。假座平安戲院與諸仁者說法。 　　</w:t>
      </w:r>
    </w:p>
    <w:p w:rsidR="002321EA" w:rsidRDefault="002321EA" w:rsidP="002321EA">
      <w:pPr>
        <w:pStyle w:val="textindent"/>
        <w:snapToGrid w:val="0"/>
        <w:rPr>
          <w:lang w:eastAsia="zh-TW"/>
        </w:rPr>
      </w:pP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t>「法」者。即眾生心。眾生心與佛心本無二心。是心具足一切法。即法即心。即心即法。如起信論云「所言法者。即眾生心。具足世間出世間一切諸法。」所謂「世間法」者。即天。人。修羅。畜生。餓鬼。地獄。一切有情無情。依正因果等法。又名六凡法界。「出世間法」者。即聲聞。緣覺。菩薩。佛法是也。又名四聖法界。斯則四聖六凡。合名為十法界法也。此十法界法。不出一心之所造成。若隨顛倒迷染之緣。則有六凡法界生。若隨不顛倒悟淨之緣。則有四聖法界生。由是觀之。聖之與凡。唯心之垢淨而現。六凡心垢故。則現六道善惡罪福等相。四聖心淨故。則現威德自在光明赫奕。慈容德相。故經云。「菩薩清涼月。常遊畢竟空。眾生心垢淨。菩提影現中。」是故苦樂由心。炎涼自我。自心作業。自身受報。唯聖與凡。但問自心可矣。凡愚昏闇。未了唯心自造之旨。妄起疑惑。若遇逆境。則怨天尤人。遇順境。則驕矜自恃。或有終身作善而得惡報。作惡而得善報。則謗無因果。那知因果理微。如種果子。先熟先脫。假我今生雖作善業。反招惡報者。皆由過去惡業熟故。今生雖善。而過去之惡業已熟。不得不先受惡報。以今</w:t>
      </w: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lastRenderedPageBreak/>
        <w:t xml:space="preserve">生善業未熟故。不得現受善報。信此理者。必無疑惑。然無始障深。久在迷途。備受辛酸。脫苦無由。當如之何。楞嚴經云。「一切眾生。生死相續。皆由不知常住真心。性淨明體。此想不真。故有輪轉。」夫欲不受輪轉者。當淨諸妄想。妄想淨。則輪回自息。故迷心名為眾生。覺心名為諸佛。佛與眾生。一迷一悟而已。當知此靈明覺知之心。即天然佛性。人人本具。個個現成。凡夫雖具佛性。如礦中真金。為煩惱沙石之所包含。故大用不彰。如來歷劫修行。已淘去惑業沙石。如出礦精金。其金一純。更不重雜沙石。大用全彰。故稱為出障圓明。大覺世尊。　　</w:t>
      </w:r>
    </w:p>
    <w:p w:rsidR="002321EA" w:rsidRDefault="002321EA" w:rsidP="002321EA">
      <w:pPr>
        <w:pStyle w:val="textindent"/>
        <w:snapToGrid w:val="0"/>
        <w:rPr>
          <w:lang w:eastAsia="zh-TW"/>
        </w:rPr>
      </w:pP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t>現在我等既欲成佛。先當審觀因地發心。除去煩惱根本。煩惱苦滅。佛性圓彰。若因地修行不真。則果招邪外之曲。若論修行之方。機有上中下之異。法亦有三乘人天法門不同。若為上機者。則為說大乘微妙法門。為中機者。為說出世解脫法門。為下機者。則為說解脫地獄餓鬼畜生三塗之苦。佛雖說種種法門。無論大小乘戒。皆以三歸五戒為根本。務使受持者。諸惡莫作。為善奉行。依之立身齊家治國。則人道主義盡。且苦因既息。苦果自滅。解脫三塗苦。生人天中。</w:t>
      </w: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lastRenderedPageBreak/>
        <w:t xml:space="preserve">易入佛乘。則學佛主義亦盡。故三歸五戒。是導世之良津。拔苦與樂之妙法。茲先釋三歸。次明五戒。　　</w:t>
      </w:r>
    </w:p>
    <w:p w:rsidR="002321EA" w:rsidRDefault="002321EA" w:rsidP="002321EA">
      <w:pPr>
        <w:pStyle w:val="textindent"/>
        <w:snapToGrid w:val="0"/>
        <w:rPr>
          <w:lang w:eastAsia="zh-TW"/>
        </w:rPr>
      </w:pP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t xml:space="preserve">所謂三歸依者。第一歸依佛。第二歸依法。第三歸依僧。何以先當歸依佛。佛為大覺世尊。究竟常樂。永離苦惱。導諸眾生。出迷籠。就覺道。佛為教化主。故先當歸依佛。次當歸依法者。是我佛法門。三世諸佛。皆依之修行而成就無量清淨功德。今日既欲返本還源。淨除心垢。舍佛法無由。故次當歸依法。三當歸依僧者。以佛法不自弘。須假人弘。人能弘法。方使從聞思修。證果成佛。況佛法無人說。雖智莫能了。難了之法。既藉僧得聞。此恩莫極。故當歸依僧。又名歸依三寶。三寶之義。分別有三。一者一體。二者別相。三者住持三寶。　　</w:t>
      </w:r>
    </w:p>
    <w:p w:rsidR="002321EA" w:rsidRDefault="002321EA" w:rsidP="002321EA">
      <w:pPr>
        <w:pStyle w:val="textindent"/>
        <w:snapToGrid w:val="0"/>
        <w:rPr>
          <w:lang w:eastAsia="zh-TW"/>
        </w:rPr>
      </w:pP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t>（一）一體三寶者。即一心自體。法爾具足佛法僧三寶故。梵語佛陀。此云覺者。當人一念靈明覺了之心。即自性一體佛寶。法者軌持義。這個心性。能軌持世出世間一切諸法。即自性一體法寶。梵語僧伽耶。此云和合眾。即此覺心能持一切法。即心即法。法法唯是一心。即法即心。心法不二。事理和合。即自性一體僧寶。如是一心具足佛法僧三寶。三寶唯是一心。</w:t>
      </w: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lastRenderedPageBreak/>
        <w:t xml:space="preserve">即是名一體三寶。眾生迷此。向外馳求。流轉生死。諸佛悟此。即證菩提。釋一體三寶竟。　　</w:t>
      </w:r>
    </w:p>
    <w:p w:rsidR="002321EA" w:rsidRDefault="002321EA" w:rsidP="002321EA">
      <w:pPr>
        <w:pStyle w:val="textindent"/>
        <w:snapToGrid w:val="0"/>
        <w:rPr>
          <w:lang w:eastAsia="zh-TW"/>
        </w:rPr>
      </w:pP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t xml:space="preserve">（二）別相三寶者。佛法僧三寶名相各別故。梵語佛陀耶。此云覺者。覺徹心源。究盡實相。是名自覺。將自證法門。覺悟一切眾生。是名覺他。自覺已圓。覺他亦竟。是名覺滿。三覺已圓。萬德俱備。究竟成佛。初菩提樹下成道。示丈六金身。於華嚴會上。現盧舍那尊特之身。是為別相佛寶。如來隨機設教。五時所說權實諸經。三藏十二部。所詮教。理。行。證。因。果。智。斷。各有不同。是名別相法寶。稟教修行。從行契證。聲聞。緣覺。菩薩。三乘階次。各各不同。是名別相僧寶。釋別相三寶竟。　　</w:t>
      </w:r>
    </w:p>
    <w:p w:rsidR="002321EA" w:rsidRDefault="002321EA" w:rsidP="002321EA">
      <w:pPr>
        <w:pStyle w:val="textindent"/>
        <w:snapToGrid w:val="0"/>
        <w:rPr>
          <w:lang w:eastAsia="zh-TW"/>
        </w:rPr>
      </w:pPr>
      <w:r>
        <w:rPr>
          <w:lang w:eastAsia="zh-TW"/>
        </w:rPr>
        <w:t> </w:t>
      </w: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t>（三）住持三寶者。佛滅度後。無論泥塑木雕。五金鑄作。紙畫布繪。諸佛形象。留世福田。恭敬如佛。功德難思。住持不絕。是名住持佛寶。無論黃卷貝葉。所詮三藏十二部大小乘經。使見聞者。依之修行。皆離苦得樂。乃至成佛。化化不絕。是名住持法寶。剃發染衣。弘宗演教。化度眾生。紹隆佛種。是名住持僧寶。釋住持三寶竟。而住持。別相。一體。悉稱寶者。不為世法之所侵淩故。不為煩惱之所染汙故。世間七珍。雖稱為寶。享樂一時。畢竟成空。只能養生。</w:t>
      </w: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lastRenderedPageBreak/>
        <w:t xml:space="preserve">不能脫死。若論三寶。則能息無邊生死。遠離一切大怖畏故。永享常樂。今言歸依三寶者。不特歸依住持三寶。別相三寶。亦複歸依一體自性三寶。落於言說。雖名三種三寶。其實唯是一心。更無別法。舉凡一切事物。莫不由心。心攝一切。如如意珠。無不具足。所以教中但云自歸依佛。自歸依法。自歸依僧等。終不云歸依於他。六祖云。「自性不歸。無所歸處。」夫「歸」者。是還原義。眾生六根從一心起。既背本源馳散六塵。今舉命根總攝六情。還歸一心之源。故曰歸命。故歸依亦即歸命義。「依」者。是依止義。以諸眾生一向隨諸色聲。逐念流轉。苦海漂沈。無依無止。不知何處是歸寧之地。今歸依三寶。則身有所歸。心有所依。從是以後。以三寶為師。三界迷途從此可出。發菩提心。佛果可期。釋歸依三寶義竟。　　</w:t>
      </w:r>
    </w:p>
    <w:p w:rsidR="002321EA" w:rsidRDefault="002321EA" w:rsidP="002321EA">
      <w:pPr>
        <w:pStyle w:val="textindent"/>
        <w:snapToGrid w:val="0"/>
        <w:rPr>
          <w:lang w:eastAsia="zh-TW"/>
        </w:rPr>
      </w:pP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t>既說三歸。次明五戒。歸依三寶已。當依法修行。方脫三界苦。若不依法修行。則無由脫黏去縛。欲脫生死黏。去煩惱縛。非五戒不為功。故云。「五戒不持。人天路絕。」夫「戒」者。生善滅惡之基。道德之本。超凡入聖之工具。以從戒生定。從定發慧。因戒定慧。方由菩提路而成正覺。故才登戒品。便成佛可期。故曰。「戒為無上菩提本」也。我佛世尊。開方便門。</w:t>
      </w: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lastRenderedPageBreak/>
        <w:t xml:space="preserve">初唱三歸次申五戒。如是乃至大小乘戒等。良由眾機心行非一。且由淺以至深。從微而及顯。究竟歸元。本無二三。　　</w:t>
      </w:r>
    </w:p>
    <w:p w:rsidR="002321EA" w:rsidRDefault="002321EA" w:rsidP="002321EA">
      <w:pPr>
        <w:pStyle w:val="textindent"/>
        <w:snapToGrid w:val="0"/>
        <w:rPr>
          <w:lang w:eastAsia="zh-TW"/>
        </w:rPr>
      </w:pP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t xml:space="preserve">五戒者。一殺戒。二盜戒。三淫戒。四妄語戒。五飲酒戒。此五戒名曰學處。又名學跡。是在家男女所應學故。又名路徑。若有遊此。便升大智慧殿故。一切律儀妙行善法。皆由此路故。又名學本。諸所應學。此為本故。又名五大施。謂以攝取無量眾生故。成就無量功德故。而斯五戒。在天謂之五星。在山謂之五嶽。在人謂之五臟。在儒謂之五常。以仁者不殺害。義者不盜取。禮者不邪淫。智者不飲酒。信者不妄語。五戒若全。則不求仁而仁著。不欣義而義敷。不祈禮而禮立。不行智而智明。不慕信而信揚。所謂振綱提網。複何功以加之。總論五戒已竟。　　</w:t>
      </w:r>
    </w:p>
    <w:p w:rsidR="002321EA" w:rsidRDefault="002321EA" w:rsidP="002321EA">
      <w:pPr>
        <w:pStyle w:val="textindent"/>
        <w:snapToGrid w:val="0"/>
        <w:rPr>
          <w:lang w:eastAsia="zh-TW"/>
        </w:rPr>
      </w:pP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t>若別釋五戒義者。第（一）殺戒。所謂惻隱之心。人皆有之。孟子云。「聞其聲不忍食其肉。」況學佛之人。豈肯萌其殺念而招苦果。是故佛制弟子。若欲行仁。首持殺戒。殺戒若持。輪回自息。殺業之始。無非以強淩弱。或貪圖口腹。或因財害命。故有人殺人。畜殺畜等。都屬於瞋殺慢殺。若貪口腹而殺者。是屬癡殺。然將他肉以補己身。豈君子之所忍為哉。豈知</w:t>
      </w: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lastRenderedPageBreak/>
        <w:t>殺機若萌。仇懟自起。故楞嚴經云。「以人食羊。羊死為人。人死為羊。如是乃至十生之類。死死相生。互來相啖。惡業俱生。窮未來際。是等則以盜貪為本。」故有劫數難逃之報。豈獨殺人當償命。殺畜亦複然。如佛世時之琉璃王誅釋種。釋迦佛種族當為琉璃王所誅時。釋尊尚頭痛難忍者。果從何因耶。以琉璃王昔為大魚。釋迦種族是食魚肉者。釋尊昔為小童。曾以棍子敲魚頭三下。今故感頭痛。釋種是啖魚肉者。故為琉璃王之所誅滅。如是觀之。因果相酬。可驚可怖。故楞嚴經云。「則諸世間胎卵濕化。隨力強弱。遞相吞食。是等則以殺食為本。」是故佛慈豈但及於人類。而慈及蟻子。佛法平等。無高下故。佛眼觀之。大地眾生皆能成佛。又梵網經云。「一切男子是我父。一切女人是我母。我生生無不從之受生。故六道眾生皆是我父母。而殺而食者。即殺我父母。」世間無知。互相吞啖。故如來制不得傷害生命。且蠢動含靈。皆有佛性。昆蟲之屬。尚不得害。況同類相殘。一切眾生既皆有佛性。未來必定成佛。既是過去父母。亦為未來諸佛。豈敢傷之。凡愚俗子。但求自利。不顧人道之傷殘。如孟子云。「矢人惟恐不傷人。」但求鬥爭之勝利。故有水陸空中之殺具。人心日形險惡。世道愈入漩渦。相殺相誅。何時得了。若不圖挽救。竟</w:t>
      </w: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lastRenderedPageBreak/>
        <w:t xml:space="preserve">成苦海。凡關世道人心者。莫不疾首痛心。力求和平。挽救人心。使歸正軌。重仁慈不重武力。勿貪口腹。見利忘義。則殺心不起。殺機若息。劫運潛消矣。奈何人心不古。置因果於罔聞。那知因果理微。如影隨形。如回應聲。若深信之者。人心則不改而善。縱遇順逆之境。必無憂喜。當知現生所受。或遇刀兵水火劫賊等事。皆由自造。如大戰時。遍世不寧。惟澳地僑居。得免諸難。皆由宿昔無深重殺業。或有遇難者。是其個人別業所感。當知因果理微。不可思議。若信此理。殺心自息。舉世若能持此殺戒。則一切殺具皆歸無用矣。如來制此殺戒為首。無非欲令人人慈仁湣物。拔自他苦。同證常樂而已矣。殺戒之義略釋已竟。　　</w:t>
      </w:r>
    </w:p>
    <w:p w:rsidR="002321EA" w:rsidRDefault="002321EA" w:rsidP="002321EA">
      <w:pPr>
        <w:pStyle w:val="textindent"/>
        <w:snapToGrid w:val="0"/>
        <w:rPr>
          <w:lang w:eastAsia="zh-TW"/>
        </w:rPr>
      </w:pP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t>（二）明盜戒者。謂盜從貪起。佛制弟子於一針一草之微。他人不與。我不敢取。何況竊盜。但是眾生唯見現利。種種計求。不告而取。如是乃至以利求利。惡求多求。無厭無足。皆為貪盜所攝。盜之細相如此。大而十方僧物。現前僧物。乃至佛法僧物。混亂互用。雖針草之微。或自用或與人。皆盜中之至重。花首大士云。「五逆十重。我皆能救。盜十方僧物。我不能救。」乃至父母師長物。不與而取。尚犯重罪。況其他焉。若能深信因果。絲毫莫犯。則此戒不持而自持。</w:t>
      </w: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lastRenderedPageBreak/>
        <w:t xml:space="preserve">大可以道不拾遺。夜不閉門。舉世皆成義讓之人。更何須監守牢獄哉。釋盜戒已竟。　　</w:t>
      </w:r>
    </w:p>
    <w:p w:rsidR="002321EA" w:rsidRDefault="002321EA" w:rsidP="002321EA">
      <w:pPr>
        <w:pStyle w:val="textindent"/>
        <w:snapToGrid w:val="0"/>
        <w:rPr>
          <w:lang w:eastAsia="zh-TW"/>
        </w:rPr>
      </w:pP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t xml:space="preserve">（三）明淫戒者。在家出家弟子。皆當嚴守此戒。在家五戒。雖正式夫婦非屬邪淫。然他人婦女。他所守護。言語嘲調。尚屬不可。況可侵淩貞潔。汙淨梵行者乎。佛制在家弟子。禁於邪淫。出家弟子。邪正俱禁。楞嚴經云。「汝愛我心。我憐汝色。以是因緣。經千百劫。常在纏縛。唯殺盜淫。三為根本。以是因緣。業果相續。」舉世若能持此戒。不祈禮而禮立。威儀自守。不肅而嚴。而法庭可無案牘之勞形矣。釋淫戒之義已竟。　　</w:t>
      </w:r>
    </w:p>
    <w:p w:rsidR="002321EA" w:rsidRDefault="002321EA" w:rsidP="002321EA">
      <w:pPr>
        <w:pStyle w:val="textindent"/>
        <w:snapToGrid w:val="0"/>
        <w:rPr>
          <w:lang w:eastAsia="zh-TW"/>
        </w:rPr>
      </w:pP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t xml:space="preserve">（四）明妄語戒者。妄語之事。亦當制止。見則言見。聞則言聞。言無妄出。細故之事。尚須真實。況事關重要乎。觀乎妄語之由。多為希求名譽利養。匿情變作。昧心厚顏。如是乃至未得聖果謂得。未證佛心謂證。欺罔聖賢。誑惑世人。是名大妄語。大妄語若成。墮無間地獄。當慎之莫犯。佛教以直心是道場。何不依之修學。舉世能持此戒。則信用具足。不邀名而名自至。不求利而福自歸。釋妄語戒已竟。　　</w:t>
      </w:r>
    </w:p>
    <w:p w:rsidR="002321EA" w:rsidRDefault="002321EA" w:rsidP="002321EA">
      <w:pPr>
        <w:pStyle w:val="textindent"/>
        <w:snapToGrid w:val="0"/>
        <w:rPr>
          <w:lang w:eastAsia="zh-TW"/>
        </w:rPr>
      </w:pP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lastRenderedPageBreak/>
        <w:t xml:space="preserve">（五）明飲酒戒。飲酒宜制者。酒雖非葷而能迷心失性。大智度論明有三十六過。梵網經云。「過酒器與人。五百世無手。何況自飲。及教人飲。」昔有比丘能降毒龍。唯好飲酒。一日。醉臥途中。嘔吐酸臭難近。唯有蝦蟆舔其唇吻。適遇佛至其側。佛歎云。「汝有神力能降毒龍。今日醉臥。反為蝦蟆所降。汝之神力何在。」故佛制止飲酒。酒戒從此始。以酒能亂性招殃。又如昔有在家五戒弟子。因破酒戒而殺盜淫妄齊破。可不哀哉。故酒能為起罪因緣。痛戒沾唇。況儘量而飲乎。舉世若能持此戒。則乘醉惹禍。自無其人矣。釋酒戒已竟。　　</w:t>
      </w:r>
    </w:p>
    <w:p w:rsidR="002321EA" w:rsidRDefault="002321EA" w:rsidP="002321EA">
      <w:pPr>
        <w:pStyle w:val="textindent"/>
        <w:snapToGrid w:val="0"/>
        <w:rPr>
          <w:lang w:eastAsia="zh-TW"/>
        </w:rPr>
      </w:pPr>
      <w:r>
        <w:rPr>
          <w:lang w:eastAsia="zh-TW"/>
        </w:rPr>
        <w:t> </w:t>
      </w: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t>若欲不犯此五戒。重在攝心。妄心若攝。分別不起。愛憎自無。種種惡業。何由而生。故楞嚴經云。「攝心為戒。因戒生定。從定發慧。」當知攝心二字具足戒。定。慧。三無漏學。斷除貪瞋癡。則諸惡不起。自能眾善奉行。故攝心二字豈獨挽救人心。維持世道。果能攝心一處。無事不辦。日久功深。菩提可冀。我佛洪恩。初唱三歸。次申五戒。用斯方便。先拔眾生苦。其恩浩大。豈碎身之所能報其萬一哉。是故聞說此三歸五戒之義。當從解起行。若百家之鄉。十人持五戒。則十人淳謹。百人修十善。則百人和睦。傳此</w:t>
      </w:r>
      <w:r>
        <w:rPr>
          <w:rFonts w:ascii="超研澤中仿" w:eastAsia="超研澤中仿" w:hint="eastAsia"/>
          <w:b/>
          <w:bCs/>
          <w:color w:val="000080"/>
          <w:sz w:val="36"/>
          <w:szCs w:val="36"/>
          <w:lang w:eastAsia="zh-TW"/>
        </w:rPr>
        <w:lastRenderedPageBreak/>
        <w:t xml:space="preserve">風教。遍於宇內。則仁人百萬。夫能行一善則去一惡。則息一刑。一刑息於家。百刑息於國。其為國主者。則不治而坐致太平矣。所以受持五戒。不但欽遵佛制。報感樂果。抑且冥助國律。益補邦家。斯乃三歸五戒之名德行相也。諸位若能真實行持。則得成佛種子。行解相應。方到彼岸。願諸大眾。從此之後。從聞生解。解而思。思而修。則成佛可期。常勤精進。輾轉示人。方報佛恩。希諸大眾。各宜努力。前途無量。消災免難。若能受三歸五戒。諸惡不作。眾善奉行。自能與道相應。無上佛道。可以圓成矣。 </w:t>
      </w:r>
    </w:p>
    <w:p w:rsidR="002321EA" w:rsidRDefault="002321EA" w:rsidP="002321EA">
      <w:pPr>
        <w:pStyle w:val="a3"/>
        <w:snapToGrid w:val="0"/>
        <w:rPr>
          <w:lang w:eastAsia="zh-TW"/>
        </w:rPr>
      </w:pPr>
      <w:r>
        <w:rPr>
          <w:b/>
          <w:bCs/>
          <w:color w:val="000080"/>
          <w:sz w:val="36"/>
          <w:szCs w:val="36"/>
          <w:lang w:eastAsia="zh-TW"/>
        </w:rPr>
        <w:t> </w:t>
      </w:r>
    </w:p>
    <w:p w:rsidR="002321EA" w:rsidRDefault="002321EA">
      <w:pPr>
        <w:rPr>
          <w:rFonts w:hint="eastAsia"/>
        </w:rPr>
      </w:pPr>
    </w:p>
    <w:sectPr w:rsidR="002321EA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超研澤中仿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21EA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321EA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21EA"/>
    <w:pPr>
      <w:widowControl/>
      <w:spacing w:before="100" w:beforeAutospacing="1" w:after="100" w:afterAutospacing="1"/>
      <w:jc w:val="left"/>
    </w:pPr>
    <w:rPr>
      <w:rFonts w:ascii="新細明體" w:eastAsia="宋体" w:hAnsi="新細明體" w:cs="宋体"/>
      <w:kern w:val="0"/>
      <w:sz w:val="24"/>
      <w:szCs w:val="24"/>
    </w:rPr>
  </w:style>
  <w:style w:type="paragraph" w:customStyle="1" w:styleId="header1">
    <w:name w:val="header1"/>
    <w:basedOn w:val="a"/>
    <w:rsid w:val="002321EA"/>
    <w:pPr>
      <w:widowControl/>
      <w:spacing w:before="100" w:beforeAutospacing="1" w:after="100" w:afterAutospacing="1"/>
      <w:jc w:val="left"/>
    </w:pPr>
    <w:rPr>
      <w:rFonts w:ascii="新細明體" w:eastAsia="宋体" w:hAnsi="新細明體" w:cs="宋体"/>
      <w:kern w:val="0"/>
      <w:sz w:val="24"/>
      <w:szCs w:val="24"/>
    </w:rPr>
  </w:style>
  <w:style w:type="paragraph" w:customStyle="1" w:styleId="header2">
    <w:name w:val="header2"/>
    <w:basedOn w:val="a"/>
    <w:rsid w:val="002321EA"/>
    <w:pPr>
      <w:widowControl/>
      <w:spacing w:before="100" w:beforeAutospacing="1" w:after="100" w:afterAutospacing="1"/>
      <w:jc w:val="left"/>
    </w:pPr>
    <w:rPr>
      <w:rFonts w:ascii="新細明體" w:eastAsia="宋体" w:hAnsi="新細明體" w:cs="宋体"/>
      <w:kern w:val="0"/>
      <w:sz w:val="24"/>
      <w:szCs w:val="24"/>
    </w:rPr>
  </w:style>
  <w:style w:type="paragraph" w:customStyle="1" w:styleId="headernote">
    <w:name w:val="headernote"/>
    <w:basedOn w:val="a"/>
    <w:rsid w:val="002321EA"/>
    <w:pPr>
      <w:widowControl/>
      <w:spacing w:before="100" w:beforeAutospacing="1" w:after="100" w:afterAutospacing="1"/>
      <w:jc w:val="left"/>
    </w:pPr>
    <w:rPr>
      <w:rFonts w:ascii="新細明體" w:eastAsia="宋体" w:hAnsi="新細明體" w:cs="宋体"/>
      <w:kern w:val="0"/>
      <w:sz w:val="24"/>
      <w:szCs w:val="24"/>
    </w:rPr>
  </w:style>
  <w:style w:type="paragraph" w:customStyle="1" w:styleId="textindent">
    <w:name w:val="textindent"/>
    <w:basedOn w:val="a"/>
    <w:rsid w:val="002321EA"/>
    <w:pPr>
      <w:widowControl/>
      <w:spacing w:before="100" w:beforeAutospacing="1" w:after="100" w:afterAutospacing="1"/>
      <w:jc w:val="left"/>
    </w:pPr>
    <w:rPr>
      <w:rFonts w:ascii="新細明體" w:eastAsia="宋体" w:hAnsi="新細明體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2321E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321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9273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775</Words>
  <Characters>4418</Characters>
  <Application>Microsoft Office Word</Application>
  <DocSecurity>0</DocSecurity>
  <Lines>36</Lines>
  <Paragraphs>10</Paragraphs>
  <ScaleCrop>false</ScaleCrop>
  <Company>国基电</Company>
  <LinksUpToDate>false</LinksUpToDate>
  <CharactersWithSpaces>5183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2009-04-15T21:40:00Z</dcterms:created>
  <dcterms:modified xsi:type="dcterms:W3CDTF">2009-04-15T21:43:00Z</dcterms:modified>
</cp:coreProperties>
</file>