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5C8" w:rsidRPr="00E935C8" w:rsidRDefault="00E935C8" w:rsidP="00E935C8">
      <w:pPr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6981825" cy="3667125"/>
            <wp:effectExtent l="19050" t="0" r="9525" b="0"/>
            <wp:docPr id="1" name="图片 1" descr="http://manjuvimalakirti.com/cakra.files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njuvimalakirti.com/cakra.files/image00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1825" cy="366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5C8"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  <w:t> </w:t>
      </w:r>
      <w:r>
        <w:rPr>
          <w:rFonts w:ascii="Times New Roman" w:eastAsia="PMingLiU" w:hAnsi="Times New Roman" w:cs="Times New Roman"/>
          <w:noProof/>
          <w:kern w:val="0"/>
          <w:sz w:val="24"/>
          <w:szCs w:val="24"/>
        </w:rPr>
        <w:lastRenderedPageBreak/>
        <w:drawing>
          <wp:inline distT="0" distB="0" distL="0" distR="0">
            <wp:extent cx="2406015" cy="4297680"/>
            <wp:effectExtent l="19050" t="0" r="0" b="0"/>
            <wp:docPr id="2" name="图片 2" descr="http://manjuvimalakirti.com/cakra.files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anjuvimalakirti.com/cakra.files/image00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015" cy="4297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PMingLiU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4180840" cy="4179793"/>
            <wp:effectExtent l="19050" t="0" r="0" b="0"/>
            <wp:docPr id="3" name="图片 3" descr="http://manjuvimalakirti.com/cakra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anjuvimalakirti.com/cakra.files/image004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0331" cy="4179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PMingLiU" w:hAnsi="Times New Roman" w:cs="Times New Roman"/>
          <w:noProof/>
          <w:kern w:val="0"/>
          <w:sz w:val="24"/>
          <w:szCs w:val="24"/>
        </w:rPr>
        <w:lastRenderedPageBreak/>
        <w:drawing>
          <wp:inline distT="0" distB="0" distL="0" distR="0">
            <wp:extent cx="3238500" cy="4457700"/>
            <wp:effectExtent l="19050" t="0" r="0" b="0"/>
            <wp:docPr id="4" name="图片 4" descr="http://manjuvimalakirti.com/cakra.files/image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anjuvimalakirti.com/cakra.files/image00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PMingLiU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5000625" cy="5695950"/>
            <wp:effectExtent l="19050" t="0" r="9525" b="0"/>
            <wp:docPr id="5" name="图片 5" descr="http://manjuvimalakirti.com/cakra.files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anjuvimalakirti.com/cakra.files/image00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569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PMingLiU" w:hAnsi="Times New Roman" w:cs="Times New Roman"/>
          <w:noProof/>
          <w:kern w:val="0"/>
          <w:sz w:val="24"/>
          <w:szCs w:val="24"/>
        </w:rPr>
        <w:lastRenderedPageBreak/>
        <w:drawing>
          <wp:inline distT="0" distB="0" distL="0" distR="0">
            <wp:extent cx="3657600" cy="5867400"/>
            <wp:effectExtent l="19050" t="0" r="0" b="0"/>
            <wp:docPr id="6" name="图片 6" descr="http://manjuvimalakirti.com/cakra.files/image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manjuvimalakirti.com/cakra.files/image00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586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35C8" w:rsidRPr="00E935C8" w:rsidRDefault="00E935C8" w:rsidP="00E935C8">
      <w:pPr>
        <w:widowControl/>
        <w:snapToGrid w:val="0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E935C8"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  <w:lastRenderedPageBreak/>
        <w:t> </w:t>
      </w:r>
    </w:p>
    <w:p w:rsidR="00E935C8" w:rsidRPr="00E935C8" w:rsidRDefault="00E935C8" w:rsidP="00E935C8">
      <w:pPr>
        <w:widowControl/>
        <w:snapToGrid w:val="0"/>
        <w:jc w:val="left"/>
        <w:rPr>
          <w:rFonts w:ascii="Times New Roman" w:eastAsia="PMingLiU" w:hAnsi="Times New Roman" w:cs="Times New Roman"/>
          <w:color w:val="FFC000"/>
          <w:kern w:val="0"/>
          <w:sz w:val="24"/>
          <w:szCs w:val="24"/>
          <w:lang w:eastAsia="zh-TW"/>
        </w:rPr>
      </w:pPr>
      <w:r w:rsidRPr="00E935C8">
        <w:rPr>
          <w:rFonts w:ascii="華康儷楷書" w:eastAsia="華康儷楷書" w:hAnsi="華康儷楷書" w:cs="華康儷楷書" w:hint="eastAsia"/>
          <w:color w:val="FFC000"/>
          <w:kern w:val="0"/>
          <w:sz w:val="44"/>
          <w:szCs w:val="44"/>
          <w:lang w:eastAsia="zh-TW"/>
        </w:rPr>
        <w:t>人是有另一重不為肉眼所見之微細身系統，粗分由３脈７輪掌控；密宗密法就是修煉這重系統，使之活潑及穩定，從而使人內在所具備之潛能得以發揮運用；道教修煉此重系統稱為命功．印度古時的婆羅門教，早已掌握大部份此重系統之奧義及修法；佛陀及蓮花生大士更將修煉之法納入正道及使修法內容昇華，達至成就個人了生脫死之境界！</w:t>
      </w:r>
    </w:p>
    <w:p w:rsidR="00E935C8" w:rsidRPr="00E935C8" w:rsidRDefault="00E935C8" w:rsidP="00E935C8">
      <w:pPr>
        <w:widowControl/>
        <w:snapToGrid w:val="0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E935C8">
        <w:rPr>
          <w:rFonts w:ascii="超研澤中仿" w:eastAsia="PMingLiU" w:hAnsi="超研澤中仿" w:cs="Times New Roman"/>
          <w:b/>
          <w:bCs/>
          <w:color w:val="33CCCC"/>
          <w:kern w:val="0"/>
          <w:sz w:val="40"/>
          <w:szCs w:val="40"/>
          <w:lang w:eastAsia="zh-TW"/>
        </w:rPr>
        <w:t>不要為身上的疾病而悲傷，不要為人生的不公平而懊恨；平靜心懷，打開與生俱來的慧眼，看你從沒有看見的，重新領悟人生，認識世界！</w:t>
      </w:r>
    </w:p>
    <w:p w:rsidR="00E935C8" w:rsidRPr="00E935C8" w:rsidRDefault="00E935C8" w:rsidP="00E935C8">
      <w:pPr>
        <w:widowControl/>
        <w:snapToGrid w:val="0"/>
        <w:ind w:left="12019" w:hanging="12019"/>
        <w:jc w:val="left"/>
        <w:rPr>
          <w:rFonts w:ascii="華康儷楷書" w:eastAsia="華康儷楷書" w:hAnsi="華康儷楷書" w:cs="華康儷楷書"/>
          <w:kern w:val="0"/>
          <w:sz w:val="44"/>
          <w:szCs w:val="44"/>
          <w:lang w:eastAsia="zh-TW"/>
        </w:rPr>
      </w:pPr>
      <w:r w:rsidRPr="00E935C8">
        <w:rPr>
          <w:rFonts w:ascii="超研澤中仿" w:eastAsia="PMingLiU" w:hAnsi="超研澤中仿" w:cs="Times New Roman"/>
          <w:b/>
          <w:bCs/>
          <w:color w:val="33CCCC"/>
          <w:kern w:val="0"/>
          <w:sz w:val="40"/>
          <w:szCs w:val="40"/>
          <w:lang w:eastAsia="zh-TW"/>
        </w:rPr>
        <w:t xml:space="preserve">　　　　　　　　　　　　　　　　　　　　　</w:t>
      </w:r>
      <w:r w:rsidRPr="00E935C8">
        <w:rPr>
          <w:rFonts w:ascii="超研澤中仿" w:eastAsia="PMingLiU" w:hAnsi="超研澤中仿" w:cs="Times New Roman"/>
          <w:b/>
          <w:bCs/>
          <w:kern w:val="0"/>
          <w:sz w:val="40"/>
          <w:szCs w:val="40"/>
          <w:lang w:eastAsia="zh-TW"/>
        </w:rPr>
        <w:t xml:space="preserve">　　</w:t>
      </w:r>
      <w:r w:rsidRPr="00E935C8">
        <w:rPr>
          <w:rFonts w:ascii="華康儷楷書" w:eastAsia="華康儷楷書" w:hAnsi="華康儷楷書" w:cs="華康儷楷書" w:hint="eastAsia"/>
          <w:kern w:val="0"/>
          <w:sz w:val="44"/>
          <w:szCs w:val="44"/>
          <w:lang w:eastAsia="zh-TW"/>
        </w:rPr>
        <w:t xml:space="preserve">　　　　　　　　　　　　　　　　　　　</w:t>
      </w:r>
    </w:p>
    <w:p w:rsidR="00E935C8" w:rsidRPr="00E935C8" w:rsidRDefault="00E935C8" w:rsidP="00E935C8">
      <w:pPr>
        <w:widowControl/>
        <w:snapToGrid w:val="0"/>
        <w:ind w:leftChars="4979" w:left="10456"/>
        <w:jc w:val="left"/>
        <w:rPr>
          <w:rFonts w:ascii="Times New Roman" w:eastAsia="PMingLiU" w:hAnsi="Times New Roman" w:cs="Times New Roman" w:hint="eastAsia"/>
          <w:color w:val="0070C0"/>
          <w:kern w:val="0"/>
          <w:sz w:val="36"/>
          <w:szCs w:val="36"/>
          <w:lang w:eastAsia="zh-TW"/>
        </w:rPr>
      </w:pPr>
      <w:r w:rsidRPr="00E935C8">
        <w:rPr>
          <w:rFonts w:ascii="華康儷楷書" w:eastAsia="華康儷楷書" w:hAnsi="華康儷楷書" w:cs="華康儷楷書" w:hint="eastAsia"/>
          <w:color w:val="0070C0"/>
          <w:kern w:val="0"/>
          <w:sz w:val="36"/>
          <w:szCs w:val="36"/>
          <w:lang w:eastAsia="zh-TW"/>
        </w:rPr>
        <w:t>文殊摩詰</w:t>
      </w:r>
    </w:p>
    <w:p w:rsidR="00E935C8" w:rsidRDefault="00E935C8">
      <w:pPr>
        <w:rPr>
          <w:rFonts w:hint="eastAsia"/>
        </w:rPr>
      </w:pPr>
    </w:p>
    <w:sectPr w:rsidR="00E935C8" w:rsidSect="00E935C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華康儷楷書">
    <w:altName w:val="Arial Unicode MS"/>
    <w:charset w:val="88"/>
    <w:family w:val="script"/>
    <w:pitch w:val="fixed"/>
    <w:sig w:usb0="00000000" w:usb1="29FFFFFF" w:usb2="00000037" w:usb3="00000000" w:csb0="003F00FF" w:csb1="00000000"/>
  </w:font>
  <w:font w:name="超研澤中仿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935C8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935C8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935C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935C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4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40</Words>
  <Characters>233</Characters>
  <Application>Microsoft Office Word</Application>
  <DocSecurity>0</DocSecurity>
  <Lines>1</Lines>
  <Paragraphs>1</Paragraphs>
  <ScaleCrop>false</ScaleCrop>
  <Company>国基电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2009-04-16T22:11:00Z</dcterms:created>
  <dcterms:modified xsi:type="dcterms:W3CDTF">2009-04-16T22:18:00Z</dcterms:modified>
</cp:coreProperties>
</file>