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EE4" w:rsidRPr="000A1EE4" w:rsidRDefault="000A1EE4" w:rsidP="000A1EE4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8"/>
          <w:szCs w:val="28"/>
        </w:rPr>
      </w:pPr>
      <w:r w:rsidRPr="000A1EE4">
        <w:rPr>
          <w:rFonts w:ascii="PMingLiU" w:eastAsia="PMingLiU" w:hAnsi="PMingLiU" w:cs="Arial" w:hint="eastAsia"/>
          <w:b/>
          <w:bCs/>
          <w:color w:val="AA4D4E"/>
          <w:kern w:val="0"/>
          <w:sz w:val="28"/>
          <w:szCs w:val="28"/>
        </w:rPr>
        <w:t>占卜術數必修課</w:t>
      </w:r>
    </w:p>
    <w:p w:rsidR="000A1EE4" w:rsidRPr="000A1EE4" w:rsidRDefault="000A1EE4" w:rsidP="000A1E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8"/>
          <w:szCs w:val="28"/>
        </w:rPr>
      </w:pPr>
      <w:r w:rsidRPr="000A1EE4">
        <w:rPr>
          <w:rFonts w:ascii="Arial" w:eastAsia="宋体" w:hAnsi="Arial" w:cs="Arial"/>
          <w:color w:val="666666"/>
          <w:kern w:val="0"/>
          <w:sz w:val="28"/>
          <w:szCs w:val="28"/>
        </w:rPr>
        <w:t> </w:t>
      </w:r>
    </w:p>
    <w:p w:rsidR="000A1EE4" w:rsidRPr="000A1EE4" w:rsidRDefault="000A1EE4" w:rsidP="000A1E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8"/>
          <w:szCs w:val="28"/>
        </w:rPr>
      </w:pPr>
      <w:r w:rsidRPr="000A1EE4">
        <w:rPr>
          <w:rFonts w:ascii="PMingLiU" w:eastAsia="PMingLiU" w:hAnsi="PMingLiU" w:cs="Arial" w:hint="eastAsia"/>
          <w:color w:val="AA4D4E"/>
          <w:kern w:val="0"/>
          <w:sz w:val="28"/>
          <w:szCs w:val="28"/>
        </w:rPr>
        <w:t>出處：　雜阿含經</w:t>
      </w:r>
      <w:r w:rsidRPr="000A1EE4">
        <w:rPr>
          <w:rFonts w:ascii="Arial" w:eastAsia="宋体" w:hAnsi="Arial" w:cs="Arial"/>
          <w:color w:val="AA4D4E"/>
          <w:kern w:val="0"/>
          <w:sz w:val="28"/>
          <w:szCs w:val="28"/>
        </w:rPr>
        <w:t xml:space="preserve"> (</w:t>
      </w:r>
      <w:r w:rsidRPr="000A1EE4">
        <w:rPr>
          <w:rFonts w:ascii="PMingLiU" w:eastAsia="PMingLiU" w:hAnsi="PMingLiU" w:cs="Arial" w:hint="eastAsia"/>
          <w:color w:val="AA4D4E"/>
          <w:kern w:val="0"/>
          <w:sz w:val="28"/>
          <w:szCs w:val="28"/>
        </w:rPr>
        <w:t>卷</w:t>
      </w:r>
      <w:r w:rsidRPr="000A1EE4">
        <w:rPr>
          <w:rFonts w:ascii="Arial" w:eastAsia="宋体" w:hAnsi="Arial" w:cs="Arial"/>
          <w:color w:val="AA4D4E"/>
          <w:kern w:val="0"/>
          <w:sz w:val="28"/>
          <w:szCs w:val="28"/>
        </w:rPr>
        <w:t>19)</w:t>
      </w:r>
      <w:r w:rsidRPr="000A1EE4">
        <w:rPr>
          <w:rFonts w:ascii="PMingLiU" w:eastAsia="PMingLiU" w:hAnsi="PMingLiU" w:cs="Arial" w:hint="eastAsia"/>
          <w:color w:val="AA4D4E"/>
          <w:kern w:val="0"/>
          <w:sz w:val="28"/>
          <w:szCs w:val="28"/>
        </w:rPr>
        <w:t xml:space="preserve">　經（五二０）</w:t>
      </w:r>
      <w:r w:rsidRPr="000A1EE4">
        <w:rPr>
          <w:rFonts w:ascii="Arial" w:eastAsia="宋体" w:hAnsi="Arial" w:cs="Arial"/>
          <w:color w:val="AA4D4E"/>
          <w:kern w:val="0"/>
          <w:sz w:val="28"/>
          <w:szCs w:val="28"/>
        </w:rPr>
        <w:t xml:space="preserve"> </w:t>
      </w:r>
      <w:r w:rsidRPr="000A1EE4">
        <w:rPr>
          <w:rFonts w:ascii="PMingLiU" w:eastAsia="PMingLiU" w:hAnsi="PMingLiU" w:cs="Arial" w:hint="eastAsia"/>
          <w:color w:val="AA4D4E"/>
          <w:kern w:val="0"/>
          <w:sz w:val="28"/>
          <w:szCs w:val="28"/>
        </w:rPr>
        <w:t>大正新修大藏經第二冊</w:t>
      </w:r>
    </w:p>
    <w:p w:rsidR="000A1EE4" w:rsidRPr="000A1EE4" w:rsidRDefault="000A1EE4" w:rsidP="000A1E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8"/>
          <w:szCs w:val="28"/>
        </w:rPr>
      </w:pPr>
      <w:r w:rsidRPr="000A1EE4">
        <w:rPr>
          <w:rFonts w:ascii="PMingLiU" w:eastAsia="PMingLiU" w:hAnsi="PMingLiU" w:cs="Arial" w:hint="eastAsia"/>
          <w:color w:val="AA4D4E"/>
          <w:kern w:val="0"/>
          <w:sz w:val="28"/>
          <w:szCs w:val="28"/>
        </w:rPr>
        <w:t>經文：　如是我聞</w:t>
      </w:r>
      <w:r w:rsidRPr="000A1EE4">
        <w:rPr>
          <w:rFonts w:ascii="Arial" w:eastAsia="宋体" w:hAnsi="Arial" w:cs="Arial"/>
          <w:color w:val="AA4D4E"/>
          <w:kern w:val="0"/>
          <w:sz w:val="28"/>
          <w:szCs w:val="28"/>
        </w:rPr>
        <w:t xml:space="preserve"> </w:t>
      </w:r>
    </w:p>
    <w:p w:rsidR="000A1EE4" w:rsidRPr="000A1EE4" w:rsidRDefault="000A1EE4" w:rsidP="000A1E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8"/>
          <w:szCs w:val="28"/>
        </w:rPr>
      </w:pPr>
      <w:r w:rsidRPr="000A1EE4">
        <w:rPr>
          <w:rFonts w:ascii="PMingLiU" w:eastAsia="PMingLiU" w:hAnsi="PMingLiU" w:cs="Arial" w:hint="eastAsia"/>
          <w:color w:val="AA4D4E"/>
          <w:kern w:val="0"/>
          <w:sz w:val="28"/>
          <w:szCs w:val="28"/>
        </w:rPr>
        <w:t>一時。佛住王舍城迦蘭陀竹園。爾時。尊者大目犍連與尊者勒叉那在耆闍崛山。</w:t>
      </w:r>
      <w:r w:rsidRPr="000A1EE4">
        <w:rPr>
          <w:rFonts w:ascii="Arial" w:eastAsia="宋体" w:hAnsi="Arial" w:cs="Arial"/>
          <w:color w:val="AA4D4E"/>
          <w:kern w:val="0"/>
          <w:sz w:val="28"/>
          <w:szCs w:val="28"/>
        </w:rPr>
        <w:t xml:space="preserve"> </w:t>
      </w:r>
    </w:p>
    <w:p w:rsidR="000A1EE4" w:rsidRPr="000A1EE4" w:rsidRDefault="000A1EE4" w:rsidP="000A1E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8"/>
          <w:szCs w:val="28"/>
        </w:rPr>
      </w:pPr>
      <w:r w:rsidRPr="000A1EE4">
        <w:rPr>
          <w:rFonts w:ascii="PMingLiU" w:eastAsia="PMingLiU" w:hAnsi="PMingLiU" w:cs="Arial" w:hint="eastAsia"/>
          <w:color w:val="AA4D4E"/>
          <w:kern w:val="0"/>
          <w:sz w:val="28"/>
          <w:szCs w:val="28"/>
        </w:rPr>
        <w:t>尊者勒叉那於晨朝時詣尊者大目犍連所。語尊者大目犍連。共出耆闍崛山。入王舍城乞食。尊者大目犍連默然而許。即共出耆闍崛山。入王舍城乞食。</w:t>
      </w:r>
      <w:r w:rsidRPr="000A1EE4">
        <w:rPr>
          <w:rFonts w:ascii="Arial" w:eastAsia="宋体" w:hAnsi="Arial" w:cs="Arial"/>
          <w:color w:val="AA4D4E"/>
          <w:kern w:val="0"/>
          <w:sz w:val="28"/>
          <w:szCs w:val="28"/>
        </w:rPr>
        <w:t xml:space="preserve"> </w:t>
      </w:r>
    </w:p>
    <w:p w:rsidR="000A1EE4" w:rsidRPr="000A1EE4" w:rsidRDefault="000A1EE4" w:rsidP="000A1E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8"/>
          <w:szCs w:val="28"/>
        </w:rPr>
      </w:pPr>
      <w:r w:rsidRPr="000A1EE4">
        <w:rPr>
          <w:rFonts w:ascii="PMingLiU" w:eastAsia="PMingLiU" w:hAnsi="PMingLiU" w:cs="Arial" w:hint="eastAsia"/>
          <w:color w:val="AA4D4E"/>
          <w:kern w:val="0"/>
          <w:sz w:val="28"/>
          <w:szCs w:val="28"/>
        </w:rPr>
        <w:t>行至一處。尊者大目犍連心有所念。欣然微笑。尊者勒叉那見尊者大目犍連微笑。即問言。尊者。若佛及佛聲聞弟子欣然微笑。非無因緣。尊者今日何因何緣而發微笑</w:t>
      </w:r>
      <w:r w:rsidRPr="000A1EE4">
        <w:rPr>
          <w:rFonts w:ascii="Arial" w:eastAsia="宋体" w:hAnsi="Arial" w:cs="Arial"/>
          <w:color w:val="AA4D4E"/>
          <w:kern w:val="0"/>
          <w:sz w:val="28"/>
          <w:szCs w:val="28"/>
        </w:rPr>
        <w:t xml:space="preserve"> </w:t>
      </w:r>
      <w:r w:rsidRPr="000A1EE4">
        <w:rPr>
          <w:rFonts w:ascii="PMingLiU" w:eastAsia="PMingLiU" w:hAnsi="PMingLiU" w:cs="Arial" w:hint="eastAsia"/>
          <w:color w:val="AA4D4E"/>
          <w:kern w:val="0"/>
          <w:sz w:val="28"/>
          <w:szCs w:val="28"/>
        </w:rPr>
        <w:t>。</w:t>
      </w:r>
    </w:p>
    <w:p w:rsidR="000A1EE4" w:rsidRPr="000A1EE4" w:rsidRDefault="000A1EE4" w:rsidP="000A1E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8"/>
          <w:szCs w:val="28"/>
        </w:rPr>
      </w:pPr>
      <w:r w:rsidRPr="000A1EE4">
        <w:rPr>
          <w:rFonts w:ascii="PMingLiU" w:eastAsia="PMingLiU" w:hAnsi="PMingLiU" w:cs="Arial" w:hint="eastAsia"/>
          <w:color w:val="AA4D4E"/>
          <w:kern w:val="0"/>
          <w:sz w:val="28"/>
          <w:szCs w:val="28"/>
        </w:rPr>
        <w:t>尊者大目犍連言。所問非時。且乞食。還於世尊前。當問是事。是應時問。</w:t>
      </w:r>
      <w:r w:rsidRPr="000A1EE4">
        <w:rPr>
          <w:rFonts w:ascii="Arial" w:eastAsia="宋体" w:hAnsi="Arial" w:cs="Arial"/>
          <w:color w:val="AA4D4E"/>
          <w:kern w:val="0"/>
          <w:sz w:val="28"/>
          <w:szCs w:val="28"/>
        </w:rPr>
        <w:t xml:space="preserve"> </w:t>
      </w:r>
    </w:p>
    <w:p w:rsidR="000A1EE4" w:rsidRPr="000A1EE4" w:rsidRDefault="000A1EE4" w:rsidP="000A1E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8"/>
          <w:szCs w:val="28"/>
        </w:rPr>
      </w:pPr>
      <w:r w:rsidRPr="000A1EE4">
        <w:rPr>
          <w:rFonts w:ascii="PMingLiU" w:eastAsia="PMingLiU" w:hAnsi="PMingLiU" w:cs="Arial" w:hint="eastAsia"/>
          <w:color w:val="AA4D4E"/>
          <w:kern w:val="0"/>
          <w:sz w:val="28"/>
          <w:szCs w:val="28"/>
        </w:rPr>
        <w:t>尊者大目犍連與尊者勒叉那共入城乞食。食已還。洗足。舉衣缽。俱詣佛所。稽首佛足。退坐一面。尊者勒叉那問尊者大目犍連。我今晨朝與汝共入王舍城乞食。汝於一處欣然微笑。我即問汝何因緣笑。汝答我言所問非時。我今問汝何因何緣欣然微笑。</w:t>
      </w:r>
    </w:p>
    <w:p w:rsidR="000A1EE4" w:rsidRPr="000A1EE4" w:rsidRDefault="000A1EE4" w:rsidP="000A1E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8"/>
          <w:szCs w:val="28"/>
        </w:rPr>
      </w:pPr>
      <w:r w:rsidRPr="000A1EE4">
        <w:rPr>
          <w:rFonts w:ascii="PMingLiU" w:eastAsia="PMingLiU" w:hAnsi="PMingLiU" w:cs="Arial" w:hint="eastAsia"/>
          <w:color w:val="AA4D4E"/>
          <w:kern w:val="0"/>
          <w:sz w:val="28"/>
          <w:szCs w:val="28"/>
        </w:rPr>
        <w:lastRenderedPageBreak/>
        <w:t>尊者大目犍連語尊者勒叉那。我於路中見一眾生。頂有鐵磨。盛火熾然。轉磨其頂。乘虛而行。受無量苦。爾時。世尊告諸比丘。善哉。比丘。我聲聞中住實眼．實智．實義．實法。決定通達。見如是眾生。我亦見是眾生。而不說者。恐不信故。所以者何。如來所說。有不信者。是愚癡人長夜當受不饒益苦。彼眾生者。過去世時。於此王舍城為卜占女人。轉式卜占。欺妄惑人。以求財物。緣斯罪故。已地獄中受無量苦。地獄餘罪。今得此身。續受斯苦。諸比丘。如大目犍連所見。真實不異。當受持之。</w:t>
      </w:r>
    </w:p>
    <w:p w:rsidR="000A1EE4" w:rsidRPr="000A1EE4" w:rsidRDefault="000A1EE4" w:rsidP="000A1E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8"/>
          <w:szCs w:val="28"/>
        </w:rPr>
      </w:pPr>
      <w:r w:rsidRPr="000A1EE4">
        <w:rPr>
          <w:rFonts w:ascii="PMingLiU" w:eastAsia="PMingLiU" w:hAnsi="PMingLiU" w:cs="Arial" w:hint="eastAsia"/>
          <w:color w:val="AA4D4E"/>
          <w:kern w:val="0"/>
          <w:sz w:val="28"/>
          <w:szCs w:val="28"/>
        </w:rPr>
        <w:t>佛說此經已。諸比丘聞佛所說。歡喜奉行。</w:t>
      </w:r>
    </w:p>
    <w:p w:rsidR="000A1EE4" w:rsidRPr="000A1EE4" w:rsidRDefault="000A1EE4" w:rsidP="000A1E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8"/>
          <w:szCs w:val="28"/>
        </w:rPr>
      </w:pPr>
      <w:r w:rsidRPr="000A1EE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解說：</w:t>
      </w:r>
    </w:p>
    <w:p w:rsidR="000A1EE4" w:rsidRPr="000A1EE4" w:rsidRDefault="000A1EE4" w:rsidP="000A1E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8"/>
          <w:szCs w:val="28"/>
        </w:rPr>
      </w:pPr>
      <w:r w:rsidRPr="000A1EE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１．</w:t>
      </w:r>
      <w:r w:rsidRPr="000A1EE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 xml:space="preserve">     </w:t>
      </w:r>
      <w:r w:rsidRPr="000A1EE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惡業行為－卜占．式，相等於栻；栻粵音色，即木製用來占卜的工具，其中某種猶如占星術所用星盤一類的東西．轉式卜占，轉動占卜的工具以斷吉凶．</w:t>
      </w:r>
    </w:p>
    <w:p w:rsidR="000A1EE4" w:rsidRPr="000A1EE4" w:rsidRDefault="000A1EE4" w:rsidP="000A1E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8"/>
          <w:szCs w:val="28"/>
        </w:rPr>
      </w:pPr>
      <w:r w:rsidRPr="000A1EE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２．</w:t>
      </w:r>
      <w:r w:rsidRPr="000A1EE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 xml:space="preserve">     </w:t>
      </w:r>
      <w:r w:rsidRPr="000A1EE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果報－主要報應：在地獄中承受難以計量的苦．餘報－在地獄中已承受難以計量的苦報後，轉換另一種身相（非人眾生），繼續承受在地獄未完結的惡報．</w:t>
      </w:r>
    </w:p>
    <w:p w:rsidR="000A1EE4" w:rsidRPr="000A1EE4" w:rsidRDefault="000A1EE4" w:rsidP="000A1E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8"/>
          <w:szCs w:val="28"/>
        </w:rPr>
      </w:pPr>
      <w:r w:rsidRPr="000A1EE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（ａ）受報者非由神通而是由惡業招感，故而長期被迫在虛空行走；因離開地面，故心中有強烈不踏實的虛浮痛苦感．</w:t>
      </w:r>
      <w:r w:rsidRPr="000A1EE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 xml:space="preserve">(b) </w:t>
      </w:r>
      <w:r w:rsidRPr="000A1EE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有正燃燒著極熱大火的鐵磨具，在受報者頭上不停地轉動磨壓．</w:t>
      </w:r>
    </w:p>
    <w:p w:rsidR="000A1EE4" w:rsidRPr="000A1EE4" w:rsidRDefault="000A1EE4" w:rsidP="000A1E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8"/>
          <w:szCs w:val="28"/>
        </w:rPr>
      </w:pPr>
      <w:r w:rsidRPr="000A1EE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lastRenderedPageBreak/>
        <w:t>３．</w:t>
      </w:r>
      <w:r w:rsidRPr="000A1EE4">
        <w:rPr>
          <w:rFonts w:ascii="Arial" w:eastAsia="宋体" w:hAnsi="Arial" w:cs="Arial"/>
          <w:b/>
          <w:bCs/>
          <w:color w:val="666666"/>
          <w:kern w:val="0"/>
          <w:sz w:val="28"/>
          <w:szCs w:val="28"/>
        </w:rPr>
        <w:t xml:space="preserve">     </w:t>
      </w:r>
      <w:r w:rsidRPr="000A1EE4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為何受惡報最重要的關鍵點－欺妄惑人，以求財物．欺－欺騙；妄－妄語，不真實的語言；惑－迷惑；炫惑．為了獲得受騙人的錢財和物資．</w:t>
      </w:r>
    </w:p>
    <w:p w:rsidR="000A1EE4" w:rsidRPr="000A1EE4" w:rsidRDefault="000A1EE4" w:rsidP="000A1E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8"/>
          <w:szCs w:val="28"/>
        </w:rPr>
      </w:pPr>
      <w:r w:rsidRPr="000A1EE4">
        <w:rPr>
          <w:rFonts w:ascii="Arial" w:eastAsia="宋体" w:hAnsi="Arial" w:cs="Arial"/>
          <w:color w:val="666666"/>
          <w:kern w:val="0"/>
          <w:sz w:val="28"/>
          <w:szCs w:val="28"/>
        </w:rPr>
        <w:t> </w:t>
      </w:r>
    </w:p>
    <w:p w:rsidR="001F6F46" w:rsidRPr="000A1EE4" w:rsidRDefault="001F6F46">
      <w:pPr>
        <w:rPr>
          <w:rFonts w:hint="eastAsia"/>
        </w:rPr>
      </w:pPr>
    </w:p>
    <w:sectPr w:rsidR="001F6F46" w:rsidRPr="000A1EE4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A1EE4"/>
    <w:rsid w:val="00001845"/>
    <w:rsid w:val="000072A6"/>
    <w:rsid w:val="000461CB"/>
    <w:rsid w:val="00053E3F"/>
    <w:rsid w:val="00056BAF"/>
    <w:rsid w:val="00093A66"/>
    <w:rsid w:val="000959D9"/>
    <w:rsid w:val="000A1EE4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9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42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03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11711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798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325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134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20914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617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914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763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314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71339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140</Words>
  <Characters>798</Characters>
  <Application>Microsoft Office Word</Application>
  <DocSecurity>0</DocSecurity>
  <Lines>6</Lines>
  <Paragraphs>1</Paragraphs>
  <ScaleCrop>false</ScaleCrop>
  <Company>国基电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2009-04-14T21:52:00Z</dcterms:created>
  <dcterms:modified xsi:type="dcterms:W3CDTF">2009-04-14T21:54:00Z</dcterms:modified>
</cp:coreProperties>
</file>